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9620" w14:textId="77777777" w:rsidR="009A514C" w:rsidRDefault="003868E3">
      <w:pP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Press Release – The Money Charity – For Immediate Release</w:t>
      </w:r>
    </w:p>
    <w:p w14:paraId="71761932" w14:textId="77777777" w:rsidR="009A514C" w:rsidRDefault="009A514C">
      <w:pPr>
        <w:spacing w:after="0" w:line="240" w:lineRule="auto"/>
        <w:jc w:val="both"/>
        <w:rPr>
          <w:rFonts w:ascii="Helvetica Neue" w:eastAsia="Helvetica Neue" w:hAnsi="Helvetica Neue" w:cs="Helvetica Neue"/>
          <w:i/>
          <w:sz w:val="16"/>
          <w:szCs w:val="16"/>
        </w:rPr>
      </w:pPr>
    </w:p>
    <w:p w14:paraId="5AB18F9E" w14:textId="77777777" w:rsidR="009A514C" w:rsidRDefault="003868E3">
      <w:pPr>
        <w:spacing w:after="0" w:line="240" w:lineRule="auto"/>
        <w:jc w:val="both"/>
        <w:rPr>
          <w:rFonts w:ascii="Helvetica Neue" w:eastAsia="Helvetica Neue" w:hAnsi="Helvetica Neue" w:cs="Helvetica Neue"/>
        </w:rPr>
      </w:pPr>
      <w:r>
        <w:rPr>
          <w:rFonts w:ascii="Helvetica Neue" w:eastAsia="Helvetica Neue" w:hAnsi="Helvetica Neue" w:cs="Helvetica Neue"/>
        </w:rPr>
        <w:t>(BEGINS)</w:t>
      </w:r>
    </w:p>
    <w:p w14:paraId="68DF955C" w14:textId="77777777" w:rsidR="009A514C" w:rsidRDefault="009A514C">
      <w:pPr>
        <w:spacing w:after="0" w:line="240" w:lineRule="auto"/>
        <w:jc w:val="both"/>
        <w:rPr>
          <w:rFonts w:ascii="Helvetica Neue" w:eastAsia="Helvetica Neue" w:hAnsi="Helvetica Neue" w:cs="Helvetica Neue"/>
          <w:b/>
          <w:color w:val="FF0000"/>
          <w:sz w:val="16"/>
          <w:szCs w:val="16"/>
          <w:u w:val="single"/>
        </w:rPr>
      </w:pPr>
    </w:p>
    <w:p w14:paraId="6471D904" w14:textId="77777777" w:rsidR="009A514C" w:rsidRDefault="003868E3">
      <w:pPr>
        <w:spacing w:after="0" w:line="240" w:lineRule="auto"/>
        <w:jc w:val="center"/>
        <w:rPr>
          <w:rFonts w:ascii="Helvetica Neue" w:eastAsia="Helvetica Neue" w:hAnsi="Helvetica Neue" w:cs="Helvetica Neue"/>
          <w:b/>
          <w:sz w:val="32"/>
          <w:szCs w:val="32"/>
          <w:u w:val="single"/>
        </w:rPr>
      </w:pPr>
      <w:r>
        <w:rPr>
          <w:rFonts w:ascii="Helvetica Neue" w:eastAsia="Helvetica Neue" w:hAnsi="Helvetica Neue" w:cs="Helvetica Neue"/>
          <w:b/>
          <w:sz w:val="32"/>
          <w:szCs w:val="32"/>
          <w:u w:val="single"/>
        </w:rPr>
        <w:t>Difficult Financial Outlook for Winter Fails to Ease</w:t>
      </w:r>
    </w:p>
    <w:p w14:paraId="7E9F4C2F" w14:textId="77777777" w:rsidR="009A514C" w:rsidRDefault="003868E3">
      <w:pPr>
        <w:spacing w:after="0"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The Money Statistics January 2022</w:t>
      </w:r>
    </w:p>
    <w:p w14:paraId="403AB031" w14:textId="77777777" w:rsidR="009A514C" w:rsidRDefault="009A514C">
      <w:pPr>
        <w:spacing w:after="0" w:line="240" w:lineRule="auto"/>
        <w:jc w:val="both"/>
        <w:rPr>
          <w:rFonts w:ascii="Helvetica Neue" w:eastAsia="Helvetica Neue" w:hAnsi="Helvetica Neue" w:cs="Helvetica Neue"/>
          <w:color w:val="FF0000"/>
        </w:rPr>
      </w:pPr>
    </w:p>
    <w:p w14:paraId="2686313A" w14:textId="77777777" w:rsidR="009A514C" w:rsidRDefault="003868E3">
      <w:pPr>
        <w:spacing w:after="0" w:line="240" w:lineRule="auto"/>
        <w:jc w:val="both"/>
        <w:rPr>
          <w:rFonts w:ascii="Helvetica Neue" w:eastAsia="Helvetica Neue" w:hAnsi="Helvetica Neue" w:cs="Helvetica Neue"/>
          <w:b/>
        </w:rPr>
      </w:pPr>
      <w:r>
        <w:rPr>
          <w:rFonts w:ascii="Helvetica Neue" w:eastAsia="Helvetica Neue" w:hAnsi="Helvetica Neue" w:cs="Helvetica Neue"/>
          <w:b/>
        </w:rPr>
        <w:t>The challenging direction of travel for the UK’s finances continued in the closing months of the year, with few indications of potential positives and some previously hopeful signs easing off, according to the January 2022 Money Statistics, produced by The Money Charity.</w:t>
      </w:r>
    </w:p>
    <w:p w14:paraId="051B475B" w14:textId="77777777" w:rsidR="009A514C" w:rsidRDefault="009A514C">
      <w:pPr>
        <w:spacing w:after="0" w:line="240" w:lineRule="auto"/>
        <w:jc w:val="both"/>
        <w:rPr>
          <w:rFonts w:ascii="Helvetica Neue" w:eastAsia="Helvetica Neue" w:hAnsi="Helvetica Neue" w:cs="Helvetica Neue"/>
          <w:b/>
        </w:rPr>
      </w:pPr>
    </w:p>
    <w:p w14:paraId="028D13E7" w14:textId="77777777" w:rsidR="009A514C" w:rsidRDefault="003868E3">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Evidence of the challenging winter ahead for household budgets continued to be seen as the UK came towards the end of 2021. With price rises and inflation continuing upwards, borrowing and lending increased accordingly, while other previously positive indications from earlier in the pandemic began to reverse or slow. In November 2021, total net lending to individuals and housing associations grew by </w:t>
      </w:r>
      <w:r>
        <w:rPr>
          <w:rFonts w:ascii="Helvetica Neue" w:eastAsia="Helvetica Neue" w:hAnsi="Helvetica Neue" w:cs="Helvetica Neue"/>
          <w:b/>
        </w:rPr>
        <w:t>£4.7 billion</w:t>
      </w:r>
      <w:r>
        <w:rPr>
          <w:rFonts w:ascii="Helvetica Neue" w:eastAsia="Helvetica Neue" w:hAnsi="Helvetica Neue" w:cs="Helvetica Neue"/>
        </w:rPr>
        <w:t xml:space="preserve">, or </w:t>
      </w:r>
      <w:r>
        <w:rPr>
          <w:rFonts w:ascii="Helvetica Neue" w:eastAsia="Helvetica Neue" w:hAnsi="Helvetica Neue" w:cs="Helvetica Neue"/>
          <w:b/>
        </w:rPr>
        <w:t>£156 million</w:t>
      </w:r>
      <w:r>
        <w:rPr>
          <w:rFonts w:ascii="Helvetica Neue" w:eastAsia="Helvetica Neue" w:hAnsi="Helvetica Neue" w:cs="Helvetica Neue"/>
          <w:vertAlign w:val="superscript"/>
        </w:rPr>
        <w:footnoteReference w:id="1"/>
      </w:r>
      <w:r>
        <w:rPr>
          <w:rFonts w:ascii="Helvetica Neue" w:eastAsia="Helvetica Neue" w:hAnsi="Helvetica Neue" w:cs="Helvetica Neue"/>
        </w:rPr>
        <w:t xml:space="preserve"> a day, over October’s revised figures and an even larger increase to September.</w:t>
      </w:r>
    </w:p>
    <w:p w14:paraId="79412DFA" w14:textId="77777777" w:rsidR="009A514C" w:rsidRDefault="009A514C">
      <w:pPr>
        <w:spacing w:after="0" w:line="240" w:lineRule="auto"/>
        <w:jc w:val="both"/>
        <w:rPr>
          <w:rFonts w:ascii="Helvetica Neue" w:eastAsia="Helvetica Neue" w:hAnsi="Helvetica Neue" w:cs="Helvetica Neue"/>
        </w:rPr>
      </w:pPr>
    </w:p>
    <w:p w14:paraId="548DBE57" w14:textId="77777777" w:rsidR="009A514C" w:rsidRDefault="003868E3">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One positive sign over recent </w:t>
      </w:r>
      <w:proofErr w:type="gramStart"/>
      <w:r>
        <w:rPr>
          <w:rFonts w:ascii="Helvetica Neue" w:eastAsia="Helvetica Neue" w:hAnsi="Helvetica Neue" w:cs="Helvetica Neue"/>
        </w:rPr>
        <w:t>months</w:t>
      </w:r>
      <w:proofErr w:type="gramEnd"/>
      <w:r>
        <w:rPr>
          <w:rFonts w:ascii="Helvetica Neue" w:eastAsia="Helvetica Neue" w:hAnsi="Helvetica Neue" w:cs="Helvetica Neue"/>
        </w:rPr>
        <w:t xml:space="preserve"> had been the decrease in outstanding levels of credit card borrowing. However, this has recently slowed significantly with a fall of just </w:t>
      </w:r>
      <w:r>
        <w:rPr>
          <w:rFonts w:ascii="Helvetica Neue" w:eastAsia="Helvetica Neue" w:hAnsi="Helvetica Neue" w:cs="Helvetica Neue"/>
          <w:b/>
        </w:rPr>
        <w:t>0.53%</w:t>
      </w:r>
      <w:r>
        <w:rPr>
          <w:rFonts w:ascii="Helvetica Neue" w:eastAsia="Helvetica Neue" w:hAnsi="Helvetica Neue" w:cs="Helvetica Neue"/>
          <w:vertAlign w:val="superscript"/>
        </w:rPr>
        <w:footnoteReference w:id="2"/>
      </w:r>
      <w:r>
        <w:rPr>
          <w:rFonts w:ascii="Helvetica Neue" w:eastAsia="Helvetica Neue" w:hAnsi="Helvetica Neue" w:cs="Helvetica Neue"/>
        </w:rPr>
        <w:t xml:space="preserve"> in the year to November 2021, compared to a previous fall of </w:t>
      </w:r>
      <w:r>
        <w:rPr>
          <w:rFonts w:ascii="Helvetica Neue" w:eastAsia="Helvetica Neue" w:hAnsi="Helvetica Neue" w:cs="Helvetica Neue"/>
          <w:b/>
        </w:rPr>
        <w:t>3.7%</w:t>
      </w:r>
      <w:r>
        <w:rPr>
          <w:rFonts w:ascii="Helvetica Neue" w:eastAsia="Helvetica Neue" w:hAnsi="Helvetica Neue" w:cs="Helvetica Neue"/>
        </w:rPr>
        <w:t xml:space="preserve"> in the year to October 2021. Taken alongside the lending figures, this suggests an overall increase in people needing to borrow in order to make ends meet. </w:t>
      </w:r>
    </w:p>
    <w:p w14:paraId="5CCBFD60" w14:textId="77777777" w:rsidR="009A514C" w:rsidRDefault="009A514C">
      <w:pPr>
        <w:spacing w:after="0" w:line="240" w:lineRule="auto"/>
        <w:jc w:val="both"/>
        <w:rPr>
          <w:rFonts w:ascii="Helvetica Neue" w:eastAsia="Helvetica Neue" w:hAnsi="Helvetica Neue" w:cs="Helvetica Neue"/>
        </w:rPr>
      </w:pPr>
    </w:p>
    <w:p w14:paraId="18C429B0" w14:textId="77777777" w:rsidR="009A514C" w:rsidRDefault="003868E3">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Fuel prices have been a major recent driver of the overall price increases being felt by UK consumers and, while prices have now finally fallen, the average amount was nominal. In December 2021, the average price of unleaded petrol fell by </w:t>
      </w:r>
      <w:r>
        <w:rPr>
          <w:rFonts w:ascii="Helvetica Neue" w:eastAsia="Helvetica Neue" w:hAnsi="Helvetica Neue" w:cs="Helvetica Neue"/>
          <w:b/>
        </w:rPr>
        <w:t>0.8ppl to 146.9ppl</w:t>
      </w:r>
      <w:r>
        <w:rPr>
          <w:rFonts w:ascii="Helvetica Neue" w:eastAsia="Helvetica Neue" w:hAnsi="Helvetica Neue" w:cs="Helvetica Neue"/>
          <w:vertAlign w:val="superscript"/>
        </w:rPr>
        <w:footnoteReference w:id="3"/>
      </w:r>
      <w:r>
        <w:rPr>
          <w:rFonts w:ascii="Helvetica Neue" w:eastAsia="Helvetica Neue" w:hAnsi="Helvetica Neue" w:cs="Helvetica Neue"/>
        </w:rPr>
        <w:t xml:space="preserve"> with diesel falling by </w:t>
      </w:r>
      <w:r>
        <w:rPr>
          <w:rFonts w:ascii="Helvetica Neue" w:eastAsia="Helvetica Neue" w:hAnsi="Helvetica Neue" w:cs="Helvetica Neue"/>
          <w:b/>
        </w:rPr>
        <w:t>0.9ppl to 149.6ppl</w:t>
      </w:r>
      <w:r>
        <w:rPr>
          <w:rFonts w:ascii="Helvetica Neue" w:eastAsia="Helvetica Neue" w:hAnsi="Helvetica Neue" w:cs="Helvetica Neue"/>
          <w:vertAlign w:val="superscript"/>
        </w:rPr>
        <w:footnoteReference w:id="4"/>
      </w:r>
      <w:r>
        <w:rPr>
          <w:rFonts w:ascii="Helvetica Neue" w:eastAsia="Helvetica Neue" w:hAnsi="Helvetica Neue" w:cs="Helvetica Neue"/>
        </w:rPr>
        <w:t>.</w:t>
      </w:r>
    </w:p>
    <w:p w14:paraId="3880084C" w14:textId="77777777" w:rsidR="009A514C" w:rsidRDefault="009A514C">
      <w:pPr>
        <w:spacing w:after="0" w:line="240" w:lineRule="auto"/>
        <w:jc w:val="both"/>
        <w:rPr>
          <w:rFonts w:ascii="Helvetica Neue" w:eastAsia="Helvetica Neue" w:hAnsi="Helvetica Neue" w:cs="Helvetica Neue"/>
        </w:rPr>
      </w:pPr>
    </w:p>
    <w:p w14:paraId="22CB30C4" w14:textId="77777777" w:rsidR="009A514C" w:rsidRDefault="003868E3">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Agencies supporting those facing financial difficulties are also beginning to report increases in enquiries as many of these circumstances are felt. Across England and Wales in December 2021, Citizens Advice Bureaux report answering </w:t>
      </w:r>
      <w:r>
        <w:rPr>
          <w:rFonts w:ascii="Helvetica Neue" w:eastAsia="Helvetica Neue" w:hAnsi="Helvetica Neue" w:cs="Helvetica Neue"/>
          <w:b/>
        </w:rPr>
        <w:t>291,136</w:t>
      </w:r>
      <w:r>
        <w:rPr>
          <w:rFonts w:ascii="Helvetica Neue" w:eastAsia="Helvetica Neue" w:hAnsi="Helvetica Neue" w:cs="Helvetica Neue"/>
        </w:rPr>
        <w:t xml:space="preserve"> enquiries</w:t>
      </w:r>
      <w:r>
        <w:rPr>
          <w:rFonts w:ascii="Helvetica Neue" w:eastAsia="Helvetica Neue" w:hAnsi="Helvetica Neue" w:cs="Helvetica Neue"/>
          <w:vertAlign w:val="superscript"/>
        </w:rPr>
        <w:footnoteReference w:id="5"/>
      </w:r>
      <w:r>
        <w:rPr>
          <w:rFonts w:ascii="Helvetica Neue" w:eastAsia="Helvetica Neue" w:hAnsi="Helvetica Neue" w:cs="Helvetica Neue"/>
        </w:rPr>
        <w:t xml:space="preserve">, </w:t>
      </w:r>
      <w:r>
        <w:rPr>
          <w:rFonts w:ascii="Helvetica Neue" w:eastAsia="Helvetica Neue" w:hAnsi="Helvetica Neue" w:cs="Helvetica Neue"/>
          <w:b/>
        </w:rPr>
        <w:t>4%</w:t>
      </w:r>
      <w:r>
        <w:rPr>
          <w:rFonts w:ascii="Helvetica Neue" w:eastAsia="Helvetica Neue" w:hAnsi="Helvetica Neue" w:cs="Helvetica Neue"/>
        </w:rPr>
        <w:t xml:space="preserve"> up from December 2020 with Debt the second largest advice category (</w:t>
      </w:r>
      <w:r>
        <w:rPr>
          <w:rFonts w:ascii="Helvetica Neue" w:eastAsia="Helvetica Neue" w:hAnsi="Helvetica Neue" w:cs="Helvetica Neue"/>
          <w:b/>
        </w:rPr>
        <w:t>46,914</w:t>
      </w:r>
      <w:r>
        <w:rPr>
          <w:rFonts w:ascii="Helvetica Neue" w:eastAsia="Helvetica Neue" w:hAnsi="Helvetica Neue" w:cs="Helvetica Neue"/>
        </w:rPr>
        <w:t>) behind Benefit and Tax Credits (</w:t>
      </w:r>
      <w:r>
        <w:rPr>
          <w:rFonts w:ascii="Helvetica Neue" w:eastAsia="Helvetica Neue" w:hAnsi="Helvetica Neue" w:cs="Helvetica Neue"/>
          <w:b/>
        </w:rPr>
        <w:t>62,990</w:t>
      </w:r>
      <w:r>
        <w:rPr>
          <w:rFonts w:ascii="Helvetica Neue" w:eastAsia="Helvetica Neue" w:hAnsi="Helvetica Neue" w:cs="Helvetica Neue"/>
        </w:rPr>
        <w:t xml:space="preserve">.) These totals mean that Debt calls are </w:t>
      </w:r>
      <w:r>
        <w:rPr>
          <w:rFonts w:ascii="Helvetica Neue" w:eastAsia="Helvetica Neue" w:hAnsi="Helvetica Neue" w:cs="Helvetica Neue"/>
          <w:b/>
        </w:rPr>
        <w:t>8%</w:t>
      </w:r>
      <w:r>
        <w:rPr>
          <w:rFonts w:ascii="Helvetica Neue" w:eastAsia="Helvetica Neue" w:hAnsi="Helvetica Neue" w:cs="Helvetica Neue"/>
        </w:rPr>
        <w:t xml:space="preserve"> up from December 2020, while Benefit and Tax Credits calls are up </w:t>
      </w:r>
      <w:r>
        <w:rPr>
          <w:rFonts w:ascii="Helvetica Neue" w:eastAsia="Helvetica Neue" w:hAnsi="Helvetica Neue" w:cs="Helvetica Neue"/>
          <w:b/>
        </w:rPr>
        <w:t>15%</w:t>
      </w:r>
      <w:r>
        <w:rPr>
          <w:rFonts w:ascii="Helvetica Neue" w:eastAsia="Helvetica Neue" w:hAnsi="Helvetica Neue" w:cs="Helvetica Neue"/>
          <w:vertAlign w:val="superscript"/>
        </w:rPr>
        <w:footnoteReference w:id="6"/>
      </w:r>
      <w:r>
        <w:rPr>
          <w:rFonts w:ascii="Helvetica Neue" w:eastAsia="Helvetica Neue" w:hAnsi="Helvetica Neue" w:cs="Helvetica Neue"/>
        </w:rPr>
        <w:t>.</w:t>
      </w:r>
    </w:p>
    <w:p w14:paraId="681A8AEB" w14:textId="77777777" w:rsidR="009A514C" w:rsidRDefault="009A514C">
      <w:pPr>
        <w:spacing w:after="0" w:line="240" w:lineRule="auto"/>
        <w:jc w:val="both"/>
        <w:rPr>
          <w:rFonts w:ascii="Helvetica Neue" w:eastAsia="Helvetica Neue" w:hAnsi="Helvetica Neue" w:cs="Helvetica Neue"/>
          <w:color w:val="FF0000"/>
        </w:rPr>
      </w:pPr>
    </w:p>
    <w:p w14:paraId="5D5050A8" w14:textId="77777777" w:rsidR="009A514C" w:rsidRDefault="003868E3">
      <w:pPr>
        <w:spacing w:after="0" w:line="240" w:lineRule="auto"/>
        <w:jc w:val="both"/>
        <w:rPr>
          <w:rFonts w:ascii="Helvetica Neue" w:eastAsia="Helvetica Neue" w:hAnsi="Helvetica Neue" w:cs="Helvetica Neue"/>
          <w:color w:val="FF0000"/>
        </w:rPr>
      </w:pPr>
      <w:r>
        <w:rPr>
          <w:rFonts w:ascii="Helvetica Neue" w:eastAsia="Helvetica Neue" w:hAnsi="Helvetica Neue" w:cs="Helvetica Neue"/>
          <w:b/>
          <w:sz w:val="24"/>
          <w:szCs w:val="24"/>
        </w:rPr>
        <w:t xml:space="preserve">Michelle </w:t>
      </w:r>
      <w:proofErr w:type="spellStart"/>
      <w:r>
        <w:rPr>
          <w:rFonts w:ascii="Helvetica Neue" w:eastAsia="Helvetica Neue" w:hAnsi="Helvetica Neue" w:cs="Helvetica Neue"/>
          <w:b/>
          <w:sz w:val="24"/>
          <w:szCs w:val="24"/>
        </w:rPr>
        <w:t>Highman</w:t>
      </w:r>
      <w:proofErr w:type="spellEnd"/>
      <w:r>
        <w:rPr>
          <w:rFonts w:ascii="Helvetica Neue" w:eastAsia="Helvetica Neue" w:hAnsi="Helvetica Neue" w:cs="Helvetica Neue"/>
          <w:b/>
          <w:sz w:val="24"/>
          <w:szCs w:val="24"/>
        </w:rPr>
        <w:t>, Chief Executive of The Money Charity says:</w:t>
      </w:r>
    </w:p>
    <w:p w14:paraId="6D331D76" w14:textId="77777777" w:rsidR="009A514C" w:rsidRDefault="009A514C">
      <w:pPr>
        <w:spacing w:after="0" w:line="240" w:lineRule="auto"/>
        <w:jc w:val="both"/>
        <w:rPr>
          <w:rFonts w:ascii="Helvetica Neue" w:eastAsia="Helvetica Neue" w:hAnsi="Helvetica Neue" w:cs="Helvetica Neue"/>
          <w:b/>
          <w:sz w:val="24"/>
          <w:szCs w:val="24"/>
        </w:rPr>
      </w:pPr>
    </w:p>
    <w:p w14:paraId="5CFE2F4D" w14:textId="77777777" w:rsidR="009A514C" w:rsidRDefault="003868E3">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“One of the very unexpected, but more positive, results of the pandemic </w:t>
      </w:r>
      <w:proofErr w:type="gramStart"/>
      <w:r>
        <w:rPr>
          <w:rFonts w:ascii="Helvetica Neue" w:eastAsia="Helvetica Neue" w:hAnsi="Helvetica Neue" w:cs="Helvetica Neue"/>
        </w:rPr>
        <w:t>was</w:t>
      </w:r>
      <w:proofErr w:type="gramEnd"/>
      <w:r>
        <w:rPr>
          <w:rFonts w:ascii="Helvetica Neue" w:eastAsia="Helvetica Neue" w:hAnsi="Helvetica Neue" w:cs="Helvetica Neue"/>
        </w:rPr>
        <w:t xml:space="preserve"> the higher number of UK households managing to save while reducing overall credit and debt, albeit these benefits were largely seen amongst those already better off. However, as the UK continues to struggle with rising costs across the board, it is concerning to see those tides turn with more people forced to borrow to manage their day-to-day finances. It’s further disheartening to see that, where costs </w:t>
      </w:r>
      <w:r>
        <w:rPr>
          <w:rFonts w:ascii="Helvetica Neue" w:eastAsia="Helvetica Neue" w:hAnsi="Helvetica Neue" w:cs="Helvetica Neue"/>
        </w:rPr>
        <w:lastRenderedPageBreak/>
        <w:t>have stabilised and should have lessened, or available saving rates increased, these more hopeful signs are simply not being passed on in kind to hard-pressed consumers.</w:t>
      </w:r>
    </w:p>
    <w:p w14:paraId="1E698B7F" w14:textId="77777777" w:rsidR="009A514C" w:rsidRDefault="009A514C">
      <w:pPr>
        <w:spacing w:after="0" w:line="240" w:lineRule="auto"/>
        <w:jc w:val="both"/>
        <w:rPr>
          <w:rFonts w:ascii="Helvetica Neue" w:eastAsia="Helvetica Neue" w:hAnsi="Helvetica Neue" w:cs="Helvetica Neue"/>
        </w:rPr>
      </w:pPr>
    </w:p>
    <w:p w14:paraId="5219378A" w14:textId="77777777" w:rsidR="009A514C" w:rsidRDefault="003868E3">
      <w:pPr>
        <w:spacing w:after="0" w:line="240" w:lineRule="auto"/>
        <w:jc w:val="both"/>
        <w:rPr>
          <w:rFonts w:ascii="Helvetica Neue" w:eastAsia="Helvetica Neue" w:hAnsi="Helvetica Neue" w:cs="Helvetica Neue"/>
        </w:rPr>
      </w:pPr>
      <w:r>
        <w:rPr>
          <w:rFonts w:ascii="Helvetica Neue" w:eastAsia="Helvetica Neue" w:hAnsi="Helvetica Neue" w:cs="Helvetica Neue"/>
        </w:rPr>
        <w:t>“The coming months will no doubt be incredibly challenging for many, but there is still real scope for decision makers to take innovative and decisive actions to safeguard households</w:t>
      </w:r>
      <w:r w:rsidR="0059317D">
        <w:rPr>
          <w:rFonts w:ascii="Helvetica Neue" w:eastAsia="Helvetica Neue" w:hAnsi="Helvetica Neue" w:cs="Helvetica Neue"/>
        </w:rPr>
        <w:t>’ Financial Wellbeing</w:t>
      </w:r>
      <w:r>
        <w:rPr>
          <w:rFonts w:ascii="Helvetica Neue" w:eastAsia="Helvetica Neue" w:hAnsi="Helvetica Neue" w:cs="Helvetica Neue"/>
        </w:rPr>
        <w:t>.</w:t>
      </w:r>
      <w:r w:rsidR="0059317D">
        <w:rPr>
          <w:rFonts w:ascii="Helvetica Neue" w:eastAsia="Helvetica Neue" w:hAnsi="Helvetica Neue" w:cs="Helvetica Neue"/>
        </w:rPr>
        <w:t xml:space="preserve"> If</w:t>
      </w:r>
      <w:r>
        <w:rPr>
          <w:rFonts w:ascii="Helvetica Neue" w:eastAsia="Helvetica Neue" w:hAnsi="Helvetica Neue" w:cs="Helvetica Neue"/>
        </w:rPr>
        <w:t xml:space="preserve"> these</w:t>
      </w:r>
      <w:r w:rsidR="0059317D">
        <w:rPr>
          <w:rFonts w:ascii="Helvetica Neue" w:eastAsia="Helvetica Neue" w:hAnsi="Helvetica Neue" w:cs="Helvetica Neue"/>
        </w:rPr>
        <w:t xml:space="preserve"> actions can be taken</w:t>
      </w:r>
      <w:r>
        <w:rPr>
          <w:rFonts w:ascii="Helvetica Neue" w:eastAsia="Helvetica Neue" w:hAnsi="Helvetica Neue" w:cs="Helvetica Neue"/>
        </w:rPr>
        <w:t>, the</w:t>
      </w:r>
      <w:r w:rsidR="0059317D">
        <w:rPr>
          <w:rFonts w:ascii="Helvetica Neue" w:eastAsia="Helvetica Neue" w:hAnsi="Helvetica Neue" w:cs="Helvetica Neue"/>
        </w:rPr>
        <w:t>n</w:t>
      </w:r>
      <w:r>
        <w:rPr>
          <w:rFonts w:ascii="Helvetica Neue" w:eastAsia="Helvetica Neue" w:hAnsi="Helvetica Neue" w:cs="Helvetica Neue"/>
        </w:rPr>
        <w:t xml:space="preserve"> </w:t>
      </w:r>
      <w:r w:rsidR="0059317D">
        <w:rPr>
          <w:rFonts w:ascii="Helvetica Neue" w:eastAsia="Helvetica Neue" w:hAnsi="Helvetica Neue" w:cs="Helvetica Neue"/>
        </w:rPr>
        <w:t xml:space="preserve">we </w:t>
      </w:r>
      <w:r>
        <w:rPr>
          <w:rFonts w:ascii="Helvetica Neue" w:eastAsia="Helvetica Neue" w:hAnsi="Helvetica Neue" w:cs="Helvetica Neue"/>
        </w:rPr>
        <w:t xml:space="preserve">may </w:t>
      </w:r>
      <w:r w:rsidR="0059317D">
        <w:rPr>
          <w:rFonts w:ascii="Helvetica Neue" w:eastAsia="Helvetica Neue" w:hAnsi="Helvetica Neue" w:cs="Helvetica Neue"/>
        </w:rPr>
        <w:t xml:space="preserve">soon </w:t>
      </w:r>
      <w:r>
        <w:rPr>
          <w:rFonts w:ascii="Helvetica Neue" w:eastAsia="Helvetica Neue" w:hAnsi="Helvetica Neue" w:cs="Helvetica Neue"/>
        </w:rPr>
        <w:t xml:space="preserve">be able to </w:t>
      </w:r>
      <w:r w:rsidR="0059317D">
        <w:rPr>
          <w:rFonts w:ascii="Helvetica Neue" w:eastAsia="Helvetica Neue" w:hAnsi="Helvetica Neue" w:cs="Helvetica Neue"/>
        </w:rPr>
        <w:t xml:space="preserve">look back on this period as one </w:t>
      </w:r>
      <w:r>
        <w:rPr>
          <w:rFonts w:ascii="Helvetica Neue" w:eastAsia="Helvetica Neue" w:hAnsi="Helvetica Neue" w:cs="Helvetica Neue"/>
        </w:rPr>
        <w:t xml:space="preserve">final point of pain before </w:t>
      </w:r>
      <w:r w:rsidR="0059317D">
        <w:rPr>
          <w:rFonts w:ascii="Helvetica Neue" w:eastAsia="Helvetica Neue" w:hAnsi="Helvetica Neue" w:cs="Helvetica Neue"/>
        </w:rPr>
        <w:t>an improving outlook for 2022.</w:t>
      </w:r>
      <w:r>
        <w:rPr>
          <w:rFonts w:ascii="Helvetica Neue" w:eastAsia="Helvetica Neue" w:hAnsi="Helvetica Neue" w:cs="Helvetica Neue"/>
        </w:rPr>
        <w:t>”</w:t>
      </w:r>
    </w:p>
    <w:p w14:paraId="2C749003" w14:textId="77777777" w:rsidR="009A514C" w:rsidRDefault="009A514C">
      <w:pPr>
        <w:spacing w:after="0" w:line="240" w:lineRule="auto"/>
        <w:jc w:val="both"/>
        <w:rPr>
          <w:rFonts w:ascii="Helvetica Neue" w:eastAsia="Helvetica Neue" w:hAnsi="Helvetica Neue" w:cs="Helvetica Neue"/>
          <w:b/>
          <w:sz w:val="24"/>
          <w:szCs w:val="24"/>
        </w:rPr>
      </w:pPr>
    </w:p>
    <w:p w14:paraId="0EC585A1" w14:textId="77777777" w:rsidR="009A514C" w:rsidRDefault="003868E3">
      <w:pPr>
        <w:spacing w:after="0" w:line="240" w:lineRule="auto"/>
        <w:jc w:val="both"/>
        <w:rPr>
          <w:rFonts w:ascii="Helvetica Neue" w:eastAsia="Helvetica Neue" w:hAnsi="Helvetica Neue" w:cs="Helvetica Neue"/>
          <w:b/>
          <w:color w:val="FF0000"/>
          <w:sz w:val="24"/>
          <w:szCs w:val="24"/>
        </w:rPr>
      </w:pPr>
      <w:r>
        <w:rPr>
          <w:rFonts w:ascii="Helvetica Neue" w:eastAsia="Helvetica Neue" w:hAnsi="Helvetica Neue" w:cs="Helvetica Neue"/>
          <w:b/>
          <w:sz w:val="24"/>
          <w:szCs w:val="24"/>
        </w:rPr>
        <w:t>Other Striking Numbers from the January Money Statistics:</w:t>
      </w:r>
    </w:p>
    <w:p w14:paraId="4AA4305A" w14:textId="77777777" w:rsidR="009A514C" w:rsidRDefault="009A514C">
      <w:pPr>
        <w:spacing w:after="0" w:line="240" w:lineRule="auto"/>
        <w:jc w:val="both"/>
        <w:rPr>
          <w:rFonts w:ascii="Helvetica Neue" w:eastAsia="Helvetica Neue" w:hAnsi="Helvetica Neue" w:cs="Helvetica Neue"/>
          <w:b/>
          <w:sz w:val="16"/>
          <w:szCs w:val="16"/>
        </w:rPr>
      </w:pPr>
    </w:p>
    <w:p w14:paraId="17DFD5BF" w14:textId="6599C381" w:rsidR="0023076E" w:rsidRPr="0023076E" w:rsidRDefault="0023076E" w:rsidP="0023076E">
      <w:pPr>
        <w:numPr>
          <w:ilvl w:val="0"/>
          <w:numId w:val="2"/>
        </w:numPr>
        <w:pBdr>
          <w:top w:val="nil"/>
          <w:left w:val="nil"/>
          <w:bottom w:val="nil"/>
          <w:right w:val="nil"/>
          <w:between w:val="nil"/>
        </w:pBdr>
        <w:spacing w:after="0" w:line="240" w:lineRule="auto"/>
        <w:ind w:left="714" w:hanging="357"/>
        <w:rPr>
          <w:rFonts w:ascii="Helvetica Neue" w:eastAsia="Helvetica Neue" w:hAnsi="Helvetica Neue" w:cs="Helvetica Neue"/>
          <w:bCs/>
        </w:rPr>
      </w:pPr>
      <w:r w:rsidRPr="0023076E">
        <w:rPr>
          <w:rFonts w:ascii="Helvetica Neue" w:eastAsia="Helvetica Neue" w:hAnsi="Helvetica Neue" w:cs="Helvetica Neue"/>
          <w:bCs/>
        </w:rPr>
        <w:t xml:space="preserve">It costs an average of </w:t>
      </w:r>
      <w:r w:rsidRPr="0023076E">
        <w:rPr>
          <w:rFonts w:ascii="Helvetica Neue" w:eastAsia="Helvetica Neue" w:hAnsi="Helvetica Neue" w:cs="Helvetica Neue"/>
          <w:b/>
          <w:bCs/>
        </w:rPr>
        <w:t>£24.44</w:t>
      </w:r>
      <w:r w:rsidRPr="0023076E">
        <w:rPr>
          <w:rFonts w:ascii="Helvetica Neue" w:eastAsia="Helvetica Neue" w:hAnsi="Helvetica Neue" w:cs="Helvetica Neue"/>
          <w:bCs/>
        </w:rPr>
        <w:t xml:space="preserve"> per day for a couple to raise a child from birth to the age of 18. For a lone parent family, the cost of raising a child comes to </w:t>
      </w:r>
      <w:r w:rsidRPr="0023076E">
        <w:rPr>
          <w:rFonts w:ascii="Helvetica Neue" w:eastAsia="Helvetica Neue" w:hAnsi="Helvetica Neue" w:cs="Helvetica Neue"/>
          <w:b/>
          <w:bCs/>
        </w:rPr>
        <w:t xml:space="preserve">£29.50 </w:t>
      </w:r>
      <w:r w:rsidRPr="0023076E">
        <w:rPr>
          <w:rFonts w:ascii="Helvetica Neue" w:eastAsia="Helvetica Neue" w:hAnsi="Helvetica Neue" w:cs="Helvetica Neue"/>
          <w:bCs/>
        </w:rPr>
        <w:t xml:space="preserve">per day. </w:t>
      </w:r>
      <w:r w:rsidRPr="0023076E">
        <w:rPr>
          <w:rFonts w:ascii="Helvetica Neue" w:eastAsia="Helvetica Neue" w:hAnsi="Helvetica Neue" w:cs="Helvetica Neue"/>
          <w:bCs/>
          <w:i/>
          <w:iCs/>
        </w:rPr>
        <w:t>(P14</w:t>
      </w:r>
      <w:r w:rsidR="003249C6">
        <w:rPr>
          <w:rFonts w:ascii="Helvetica Neue" w:eastAsia="Helvetica Neue" w:hAnsi="Helvetica Neue" w:cs="Helvetica Neue"/>
          <w:bCs/>
          <w:i/>
          <w:iCs/>
        </w:rPr>
        <w:t>.</w:t>
      </w:r>
      <w:r w:rsidRPr="0023076E">
        <w:rPr>
          <w:rFonts w:ascii="Helvetica Neue" w:eastAsia="Helvetica Neue" w:hAnsi="Helvetica Neue" w:cs="Helvetica Neue"/>
          <w:bCs/>
          <w:i/>
          <w:iCs/>
        </w:rPr>
        <w:t>)</w:t>
      </w:r>
    </w:p>
    <w:p w14:paraId="0117CD31" w14:textId="77777777" w:rsidR="0023076E" w:rsidRPr="0023076E" w:rsidRDefault="0023076E" w:rsidP="00AA4DD6">
      <w:pPr>
        <w:numPr>
          <w:ilvl w:val="0"/>
          <w:numId w:val="2"/>
        </w:numPr>
        <w:pBdr>
          <w:top w:val="nil"/>
          <w:left w:val="nil"/>
          <w:bottom w:val="nil"/>
          <w:right w:val="nil"/>
          <w:between w:val="nil"/>
        </w:pBdr>
        <w:spacing w:after="0" w:line="240" w:lineRule="auto"/>
        <w:ind w:left="714" w:hanging="357"/>
        <w:rPr>
          <w:rFonts w:ascii="Helvetica Neue" w:eastAsia="Helvetica Neue" w:hAnsi="Helvetica Neue" w:cs="Helvetica Neue"/>
          <w:bCs/>
        </w:rPr>
      </w:pPr>
      <w:r w:rsidRPr="0023076E">
        <w:rPr>
          <w:rFonts w:ascii="Helvetica Neue" w:eastAsia="Helvetica Neue" w:hAnsi="Helvetica Neue" w:cs="Helvetica Neue"/>
          <w:bCs/>
        </w:rPr>
        <w:t xml:space="preserve">The number of people unemployed in the UK fell by </w:t>
      </w:r>
      <w:r w:rsidRPr="0023076E">
        <w:rPr>
          <w:rFonts w:ascii="Helvetica Neue" w:eastAsia="Helvetica Neue" w:hAnsi="Helvetica Neue" w:cs="Helvetica Neue"/>
          <w:b/>
          <w:bCs/>
        </w:rPr>
        <w:t xml:space="preserve">3,923 </w:t>
      </w:r>
      <w:r w:rsidRPr="0023076E">
        <w:rPr>
          <w:rFonts w:ascii="Helvetica Neue" w:eastAsia="Helvetica Neue" w:hAnsi="Helvetica Neue" w:cs="Helvetica Neue"/>
          <w:bCs/>
        </w:rPr>
        <w:t xml:space="preserve">per day in the twelve months to November 2021. </w:t>
      </w:r>
      <w:r w:rsidRPr="0023076E">
        <w:rPr>
          <w:rFonts w:ascii="Helvetica Neue" w:eastAsia="Helvetica Neue" w:hAnsi="Helvetica Neue" w:cs="Helvetica Neue"/>
          <w:bCs/>
          <w:i/>
          <w:iCs/>
        </w:rPr>
        <w:t>(P20.)</w:t>
      </w:r>
    </w:p>
    <w:p w14:paraId="09278B40" w14:textId="77777777" w:rsidR="0023076E" w:rsidRPr="0023076E" w:rsidRDefault="0023076E">
      <w:pPr>
        <w:numPr>
          <w:ilvl w:val="0"/>
          <w:numId w:val="2"/>
        </w:numPr>
        <w:pBdr>
          <w:top w:val="nil"/>
          <w:left w:val="nil"/>
          <w:bottom w:val="nil"/>
          <w:right w:val="nil"/>
          <w:between w:val="nil"/>
        </w:pBdr>
        <w:spacing w:after="0" w:line="240" w:lineRule="auto"/>
        <w:ind w:left="714" w:hanging="357"/>
        <w:rPr>
          <w:rFonts w:ascii="Helvetica Neue" w:eastAsia="Helvetica Neue" w:hAnsi="Helvetica Neue" w:cs="Helvetica Neue"/>
          <w:bCs/>
        </w:rPr>
      </w:pPr>
      <w:r w:rsidRPr="0023076E">
        <w:rPr>
          <w:rFonts w:ascii="Helvetica Neue" w:eastAsia="Helvetica Neue" w:hAnsi="Helvetica Neue" w:cs="Helvetica Neue"/>
          <w:bCs/>
        </w:rPr>
        <w:t xml:space="preserve">Consumers lost </w:t>
      </w:r>
      <w:r w:rsidRPr="0023076E">
        <w:rPr>
          <w:rFonts w:ascii="Helvetica Neue" w:eastAsia="Helvetica Neue" w:hAnsi="Helvetica Neue" w:cs="Helvetica Neue"/>
          <w:b/>
        </w:rPr>
        <w:t xml:space="preserve">£355.3 million </w:t>
      </w:r>
      <w:r w:rsidRPr="0023076E">
        <w:rPr>
          <w:rFonts w:ascii="Helvetica Neue" w:eastAsia="Helvetica Neue" w:hAnsi="Helvetica Neue" w:cs="Helvetica Neue"/>
          <w:bCs/>
        </w:rPr>
        <w:t>to</w:t>
      </w:r>
      <w:r w:rsidRPr="0023076E">
        <w:rPr>
          <w:rFonts w:ascii="Helvetica Neue" w:eastAsia="Helvetica Neue" w:hAnsi="Helvetica Neue" w:cs="Helvetica Neue"/>
          <w:b/>
        </w:rPr>
        <w:t xml:space="preserve"> </w:t>
      </w:r>
      <w:r w:rsidRPr="0023076E">
        <w:rPr>
          <w:rFonts w:ascii="Helvetica Neue" w:eastAsia="Helvetica Neue" w:hAnsi="Helvetica Neue" w:cs="Helvetica Neue"/>
          <w:bCs/>
        </w:rPr>
        <w:t xml:space="preserve">Authorised Push Payment (APP) scams during January to July 2021, according to Which? </w:t>
      </w:r>
      <w:r w:rsidRPr="0023076E">
        <w:rPr>
          <w:rFonts w:ascii="Helvetica Neue" w:eastAsia="Helvetica Neue" w:hAnsi="Helvetica Neue" w:cs="Helvetica Neue"/>
          <w:bCs/>
          <w:i/>
          <w:iCs/>
        </w:rPr>
        <w:t>(P4.1.)</w:t>
      </w:r>
    </w:p>
    <w:p w14:paraId="4D15BD70" w14:textId="77777777" w:rsidR="009A514C" w:rsidRDefault="009A514C">
      <w:pPr>
        <w:spacing w:after="0" w:line="240" w:lineRule="auto"/>
        <w:rPr>
          <w:rFonts w:ascii="Helvetica Neue" w:eastAsia="Helvetica Neue" w:hAnsi="Helvetica Neue" w:cs="Helvetica Neue"/>
          <w:color w:val="FF0000"/>
        </w:rPr>
      </w:pPr>
    </w:p>
    <w:p w14:paraId="561156F4" w14:textId="77777777" w:rsidR="009A514C" w:rsidRDefault="003868E3">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Get the full picture and many more fascinating facts about money in the UK in our monthly</w:t>
      </w:r>
      <w:r>
        <w:rPr>
          <w:rFonts w:ascii="Helvetica Neue" w:eastAsia="Helvetica Neue" w:hAnsi="Helvetica Neue" w:cs="Helvetica Neue"/>
          <w:sz w:val="24"/>
          <w:szCs w:val="24"/>
        </w:rPr>
        <w:t> </w:t>
      </w:r>
      <w:hyperlink r:id="rId8">
        <w:r>
          <w:rPr>
            <w:rFonts w:ascii="Helvetica Neue" w:eastAsia="Helvetica Neue" w:hAnsi="Helvetica Neue" w:cs="Helvetica Neue"/>
            <w:b/>
            <w:sz w:val="24"/>
            <w:szCs w:val="24"/>
            <w:u w:val="single"/>
          </w:rPr>
          <w:t>Money Statistics</w:t>
        </w:r>
      </w:hyperlink>
      <w:r>
        <w:rPr>
          <w:rFonts w:ascii="Helvetica Neue" w:eastAsia="Helvetica Neue" w:hAnsi="Helvetica Neue" w:cs="Helvetica Neue"/>
          <w:b/>
          <w:sz w:val="24"/>
          <w:szCs w:val="24"/>
        </w:rPr>
        <w:t>.</w:t>
      </w:r>
    </w:p>
    <w:p w14:paraId="7241A7F4" w14:textId="77777777" w:rsidR="009A514C" w:rsidRDefault="009A514C">
      <w:pPr>
        <w:spacing w:after="0" w:line="240" w:lineRule="auto"/>
        <w:jc w:val="both"/>
        <w:rPr>
          <w:rFonts w:ascii="Helvetica Neue" w:eastAsia="Helvetica Neue" w:hAnsi="Helvetica Neue" w:cs="Helvetica Neue"/>
          <w:color w:val="FF0000"/>
          <w:sz w:val="16"/>
          <w:szCs w:val="16"/>
        </w:rPr>
      </w:pPr>
    </w:p>
    <w:p w14:paraId="5BD52942" w14:textId="77777777" w:rsidR="009A514C" w:rsidRDefault="003868E3">
      <w:pPr>
        <w:spacing w:after="0" w:line="240" w:lineRule="auto"/>
        <w:jc w:val="both"/>
        <w:rPr>
          <w:rFonts w:ascii="Helvetica Neue" w:eastAsia="Helvetica Neue" w:hAnsi="Helvetica Neue" w:cs="Helvetica Neue"/>
        </w:rPr>
      </w:pPr>
      <w:r>
        <w:rPr>
          <w:rFonts w:ascii="Helvetica Neue" w:eastAsia="Helvetica Neue" w:hAnsi="Helvetica Neue" w:cs="Helvetica Neue"/>
          <w:u w:val="single"/>
        </w:rPr>
        <w:t>Notes to Editors</w:t>
      </w:r>
    </w:p>
    <w:p w14:paraId="1B9CBF4A" w14:textId="77777777" w:rsidR="009A514C" w:rsidRDefault="009A514C">
      <w:pPr>
        <w:spacing w:after="0" w:line="240" w:lineRule="auto"/>
        <w:jc w:val="both"/>
        <w:rPr>
          <w:rFonts w:ascii="Helvetica Neue" w:eastAsia="Helvetica Neue" w:hAnsi="Helvetica Neue" w:cs="Helvetica Neue"/>
          <w:u w:val="single"/>
        </w:rPr>
      </w:pPr>
    </w:p>
    <w:p w14:paraId="67634C74" w14:textId="77777777" w:rsidR="009A514C" w:rsidRDefault="003868E3">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FF"/>
          <w:u w:val="single"/>
        </w:rPr>
      </w:pPr>
      <w:r>
        <w:rPr>
          <w:rFonts w:ascii="Helvetica Neue" w:eastAsia="Helvetica Neue" w:hAnsi="Helvetica Neue" w:cs="Helvetica Neue"/>
          <w:color w:val="000000"/>
        </w:rPr>
        <w:t xml:space="preserve">For over 25 years, The Money Charity has been the UK’s Financial Capability charity. We proactively provide education, information, advice and guidance to people of all ages, to reach our vision of seeing everyone achieving Financial Wellbeing by managing their money well. We empower people across the UK to develop the skills, knowledge, attitudes and behaviours to make the most of their money throughout their lives. Find out more at </w:t>
      </w:r>
      <w:hyperlink r:id="rId9">
        <w:r>
          <w:rPr>
            <w:rFonts w:ascii="Helvetica Neue" w:eastAsia="Helvetica Neue" w:hAnsi="Helvetica Neue" w:cs="Helvetica Neue"/>
            <w:color w:val="0000FF"/>
            <w:u w:val="single"/>
          </w:rPr>
          <w:t>https://themoneycharity.org.uk/</w:t>
        </w:r>
      </w:hyperlink>
    </w:p>
    <w:p w14:paraId="6778DE6C" w14:textId="77777777" w:rsidR="009A514C" w:rsidRDefault="009A514C">
      <w:pPr>
        <w:pBdr>
          <w:top w:val="nil"/>
          <w:left w:val="nil"/>
          <w:bottom w:val="nil"/>
          <w:right w:val="nil"/>
          <w:between w:val="nil"/>
        </w:pBdr>
        <w:spacing w:after="0" w:line="240" w:lineRule="auto"/>
        <w:ind w:left="720"/>
        <w:jc w:val="both"/>
        <w:rPr>
          <w:rFonts w:ascii="Helvetica Neue" w:eastAsia="Helvetica Neue" w:hAnsi="Helvetica Neue" w:cs="Helvetica Neue"/>
          <w:color w:val="000000"/>
        </w:rPr>
      </w:pPr>
    </w:p>
    <w:p w14:paraId="22F9BEBC" w14:textId="77777777" w:rsidR="009A514C" w:rsidRDefault="003868E3">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All statistics are from the latest available data at the time of writing/release.</w:t>
      </w:r>
    </w:p>
    <w:p w14:paraId="6217028B" w14:textId="77777777" w:rsidR="009A514C" w:rsidRDefault="009A514C">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24"/>
          <w:szCs w:val="24"/>
        </w:rPr>
      </w:pPr>
    </w:p>
    <w:p w14:paraId="27C97CF1" w14:textId="77777777" w:rsidR="009A514C" w:rsidRDefault="003868E3">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may use any of the statistics quoted in this release, or within The Money Statistics, as long as:</w:t>
      </w:r>
    </w:p>
    <w:p w14:paraId="77CAF959" w14:textId="77777777" w:rsidR="009A514C" w:rsidRDefault="003868E3">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don’t make any commercial or financial gain from their use;</w:t>
      </w:r>
    </w:p>
    <w:p w14:paraId="40CCB654" w14:textId="77777777" w:rsidR="009A514C" w:rsidRDefault="003868E3">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clearly acknowledge The Money Charity as the providers of the information and point your audience towards signing up themselves for the monthly report; and</w:t>
      </w:r>
    </w:p>
    <w:p w14:paraId="087B9D0B" w14:textId="77777777" w:rsidR="009A514C" w:rsidRDefault="003868E3">
      <w:pPr>
        <w:numPr>
          <w:ilvl w:val="1"/>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 not make substantive adjustments to the presentation of the statistics, such as amending the statistic phrasing, or for example, repurposing the statistics into a format they are not appropriate for, such as an editorial/’opinion piece’ from the charity.</w:t>
      </w:r>
    </w:p>
    <w:p w14:paraId="09447163" w14:textId="77777777" w:rsidR="009A514C" w:rsidRDefault="009A514C">
      <w:pPr>
        <w:spacing w:after="0" w:line="240" w:lineRule="auto"/>
        <w:jc w:val="both"/>
        <w:rPr>
          <w:rFonts w:ascii="Helvetica Neue" w:eastAsia="Helvetica Neue" w:hAnsi="Helvetica Neue" w:cs="Helvetica Neue"/>
          <w:sz w:val="24"/>
          <w:szCs w:val="24"/>
        </w:rPr>
      </w:pPr>
    </w:p>
    <w:p w14:paraId="21BE93E5" w14:textId="77777777" w:rsidR="009A514C" w:rsidRDefault="003868E3">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you’d like The Money Statistics emailed to you every month as soon as they’re published, please sign up at: </w:t>
      </w:r>
      <w:hyperlink r:id="rId10">
        <w:r>
          <w:rPr>
            <w:rFonts w:ascii="Helvetica Neue" w:eastAsia="Helvetica Neue" w:hAnsi="Helvetica Neue" w:cs="Helvetica Neue"/>
            <w:color w:val="0000FF"/>
            <w:u w:val="single"/>
          </w:rPr>
          <w:t>https://themoneycharity.org.uk/money-statistics/</w:t>
        </w:r>
      </w:hyperlink>
    </w:p>
    <w:p w14:paraId="273C831F" w14:textId="77777777" w:rsidR="009A514C" w:rsidRDefault="009A514C">
      <w:pPr>
        <w:spacing w:after="0" w:line="240" w:lineRule="auto"/>
        <w:jc w:val="both"/>
        <w:rPr>
          <w:rFonts w:ascii="Helvetica Neue" w:eastAsia="Helvetica Neue" w:hAnsi="Helvetica Neue" w:cs="Helvetica Neue"/>
          <w:sz w:val="24"/>
          <w:szCs w:val="24"/>
        </w:rPr>
      </w:pPr>
    </w:p>
    <w:p w14:paraId="577F0850" w14:textId="77777777" w:rsidR="009A514C" w:rsidRDefault="003868E3">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 xml:space="preserve">If you’ve any questions, comments, or want any information about the source of these statistics, please contact us through </w:t>
      </w:r>
      <w:hyperlink r:id="rId11">
        <w:r>
          <w:rPr>
            <w:rFonts w:ascii="Helvetica Neue" w:eastAsia="Helvetica Neue" w:hAnsi="Helvetica Neue" w:cs="Helvetica Neue"/>
            <w:color w:val="000000"/>
            <w:u w:val="single"/>
          </w:rPr>
          <w:t>hello@themoneycharity.org.uk</w:t>
        </w:r>
      </w:hyperlink>
    </w:p>
    <w:p w14:paraId="3F6ECCEA" w14:textId="77777777" w:rsidR="009A514C" w:rsidRDefault="009A514C">
      <w:pPr>
        <w:spacing w:after="0" w:line="240" w:lineRule="auto"/>
        <w:jc w:val="both"/>
        <w:rPr>
          <w:rFonts w:ascii="Helvetica Neue" w:eastAsia="Helvetica Neue" w:hAnsi="Helvetica Neue" w:cs="Helvetica Neue"/>
          <w:sz w:val="24"/>
          <w:szCs w:val="24"/>
        </w:rPr>
      </w:pPr>
    </w:p>
    <w:p w14:paraId="18B7FD69" w14:textId="77777777" w:rsidR="009A514C" w:rsidRDefault="003868E3">
      <w:pPr>
        <w:numPr>
          <w:ilvl w:val="0"/>
          <w:numId w:val="1"/>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Any media or press enquiries should be directed to our Communications &amp; Marketing Manager, James Yelland, on </w:t>
      </w:r>
      <w:hyperlink r:id="rId12">
        <w:r>
          <w:rPr>
            <w:rFonts w:ascii="Helvetica Neue" w:eastAsia="Helvetica Neue" w:hAnsi="Helvetica Neue" w:cs="Helvetica Neue"/>
            <w:color w:val="000000"/>
            <w:u w:val="single"/>
          </w:rPr>
          <w:t>james@themoneycharity.org.uk</w:t>
        </w:r>
      </w:hyperlink>
    </w:p>
    <w:p w14:paraId="658154CC" w14:textId="77777777" w:rsidR="009A514C" w:rsidRDefault="003868E3">
      <w:pPr>
        <w:spacing w:after="0" w:line="240" w:lineRule="auto"/>
        <w:jc w:val="both"/>
        <w:rPr>
          <w:rFonts w:ascii="Helvetica Neue" w:eastAsia="Helvetica Neue" w:hAnsi="Helvetica Neue" w:cs="Helvetica Neue"/>
        </w:rPr>
      </w:pPr>
      <w:r>
        <w:rPr>
          <w:rFonts w:ascii="Helvetica Neue" w:eastAsia="Helvetica Neue" w:hAnsi="Helvetica Neue" w:cs="Helvetica Neue"/>
        </w:rPr>
        <w:t>(ENDS)</w:t>
      </w:r>
    </w:p>
    <w:sectPr w:rsidR="009A514C">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398D" w14:textId="77777777" w:rsidR="00545C7A" w:rsidRDefault="00545C7A">
      <w:pPr>
        <w:spacing w:after="0" w:line="240" w:lineRule="auto"/>
      </w:pPr>
      <w:r>
        <w:separator/>
      </w:r>
    </w:p>
  </w:endnote>
  <w:endnote w:type="continuationSeparator" w:id="0">
    <w:p w14:paraId="06A17FA8" w14:textId="77777777" w:rsidR="00545C7A" w:rsidRDefault="0054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11F2" w14:textId="77777777" w:rsidR="00545C7A" w:rsidRDefault="00545C7A">
      <w:pPr>
        <w:spacing w:after="0" w:line="240" w:lineRule="auto"/>
      </w:pPr>
      <w:r>
        <w:separator/>
      </w:r>
    </w:p>
  </w:footnote>
  <w:footnote w:type="continuationSeparator" w:id="0">
    <w:p w14:paraId="3FE3F29C" w14:textId="77777777" w:rsidR="00545C7A" w:rsidRDefault="00545C7A">
      <w:pPr>
        <w:spacing w:after="0" w:line="240" w:lineRule="auto"/>
      </w:pPr>
      <w:r>
        <w:continuationSeparator/>
      </w:r>
    </w:p>
  </w:footnote>
  <w:footnote w:id="1">
    <w:p w14:paraId="4005DC02" w14:textId="77777777" w:rsidR="009A514C" w:rsidRPr="0023076E" w:rsidRDefault="003868E3">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23076E">
        <w:rPr>
          <w:rStyle w:val="FootnoteReference"/>
          <w:rFonts w:ascii="Helvetica Neue" w:hAnsi="Helvetica Neue"/>
          <w:sz w:val="16"/>
          <w:szCs w:val="16"/>
        </w:rPr>
        <w:footnoteRef/>
      </w:r>
      <w:r w:rsidRPr="0023076E">
        <w:rPr>
          <w:rFonts w:ascii="Helvetica Neue" w:eastAsia="Helvetica Neue" w:hAnsi="Helvetica Neue" w:cs="Helvetica Neue"/>
          <w:sz w:val="16"/>
          <w:szCs w:val="16"/>
        </w:rPr>
        <w:t xml:space="preserve"> (The Money Statistics January 2022 Full Report, P6)</w:t>
      </w:r>
    </w:p>
  </w:footnote>
  <w:footnote w:id="2">
    <w:p w14:paraId="3BD604B4" w14:textId="77777777" w:rsidR="009A514C" w:rsidRPr="0023076E" w:rsidRDefault="003868E3">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23076E">
        <w:rPr>
          <w:rStyle w:val="FootnoteReference"/>
          <w:rFonts w:ascii="Helvetica Neue" w:hAnsi="Helvetica Neue"/>
          <w:sz w:val="16"/>
          <w:szCs w:val="16"/>
        </w:rPr>
        <w:footnoteRef/>
      </w:r>
      <w:r w:rsidRPr="0023076E">
        <w:rPr>
          <w:rFonts w:ascii="Helvetica Neue" w:eastAsia="Helvetica Neue" w:hAnsi="Helvetica Neue" w:cs="Helvetica Neue"/>
          <w:sz w:val="16"/>
          <w:szCs w:val="16"/>
        </w:rPr>
        <w:t xml:space="preserve"> (The Money Statistics January 2022 Full Report, P5)</w:t>
      </w:r>
    </w:p>
  </w:footnote>
  <w:footnote w:id="3">
    <w:p w14:paraId="1C7F4E47" w14:textId="77777777" w:rsidR="009A514C" w:rsidRPr="0023076E" w:rsidRDefault="003868E3">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23076E">
        <w:rPr>
          <w:rStyle w:val="FootnoteReference"/>
          <w:rFonts w:ascii="Helvetica Neue" w:hAnsi="Helvetica Neue"/>
          <w:sz w:val="16"/>
          <w:szCs w:val="16"/>
        </w:rPr>
        <w:footnoteRef/>
      </w:r>
      <w:r w:rsidRPr="0023076E">
        <w:rPr>
          <w:rFonts w:ascii="Helvetica Neue" w:eastAsia="Helvetica Neue" w:hAnsi="Helvetica Neue" w:cs="Helvetica Neue"/>
          <w:sz w:val="16"/>
          <w:szCs w:val="16"/>
        </w:rPr>
        <w:t xml:space="preserve"> (The Money Statistics January 2022 Full Report, P14)</w:t>
      </w:r>
    </w:p>
  </w:footnote>
  <w:footnote w:id="4">
    <w:p w14:paraId="5AEAA7F3" w14:textId="77777777" w:rsidR="009A514C" w:rsidRPr="0023076E" w:rsidRDefault="003868E3">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23076E">
        <w:rPr>
          <w:rStyle w:val="FootnoteReference"/>
          <w:rFonts w:ascii="Helvetica Neue" w:hAnsi="Helvetica Neue"/>
          <w:sz w:val="16"/>
          <w:szCs w:val="16"/>
        </w:rPr>
        <w:footnoteRef/>
      </w:r>
      <w:r w:rsidRPr="0023076E">
        <w:rPr>
          <w:rFonts w:ascii="Helvetica Neue" w:eastAsia="Helvetica Neue" w:hAnsi="Helvetica Neue" w:cs="Helvetica Neue"/>
          <w:sz w:val="16"/>
          <w:szCs w:val="16"/>
        </w:rPr>
        <w:t xml:space="preserve"> (The Money Statistics January 2022 Full Report, P14)</w:t>
      </w:r>
    </w:p>
  </w:footnote>
  <w:footnote w:id="5">
    <w:p w14:paraId="7739EAEB" w14:textId="77777777" w:rsidR="009A514C" w:rsidRPr="0023076E" w:rsidRDefault="003868E3">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23076E">
        <w:rPr>
          <w:rStyle w:val="FootnoteReference"/>
          <w:rFonts w:ascii="Helvetica Neue" w:hAnsi="Helvetica Neue"/>
          <w:sz w:val="16"/>
          <w:szCs w:val="16"/>
        </w:rPr>
        <w:footnoteRef/>
      </w:r>
      <w:r w:rsidRPr="0023076E">
        <w:rPr>
          <w:rFonts w:ascii="Helvetica Neue" w:eastAsia="Helvetica Neue" w:hAnsi="Helvetica Neue" w:cs="Helvetica Neue"/>
          <w:sz w:val="16"/>
          <w:szCs w:val="16"/>
        </w:rPr>
        <w:t xml:space="preserve"> (The Money Statistics January 2022 Full Report, P7)</w:t>
      </w:r>
    </w:p>
  </w:footnote>
  <w:footnote w:id="6">
    <w:p w14:paraId="03F62AD1" w14:textId="77777777" w:rsidR="009A514C" w:rsidRDefault="003868E3">
      <w:pPr>
        <w:pBdr>
          <w:top w:val="nil"/>
          <w:left w:val="nil"/>
          <w:bottom w:val="nil"/>
          <w:right w:val="nil"/>
          <w:between w:val="nil"/>
        </w:pBdr>
        <w:spacing w:after="0" w:line="240" w:lineRule="auto"/>
        <w:contextualSpacing/>
        <w:rPr>
          <w:rFonts w:ascii="Helvetica Neue" w:eastAsia="Helvetica Neue" w:hAnsi="Helvetica Neue" w:cs="Helvetica Neue"/>
          <w:sz w:val="16"/>
          <w:szCs w:val="16"/>
        </w:rPr>
      </w:pPr>
      <w:r w:rsidRPr="0023076E">
        <w:rPr>
          <w:rStyle w:val="FootnoteReference"/>
          <w:rFonts w:ascii="Helvetica Neue" w:hAnsi="Helvetica Neue"/>
          <w:sz w:val="16"/>
          <w:szCs w:val="16"/>
        </w:rPr>
        <w:footnoteRef/>
      </w:r>
      <w:r w:rsidRPr="0023076E">
        <w:rPr>
          <w:rFonts w:ascii="Helvetica Neue" w:eastAsia="Helvetica Neue" w:hAnsi="Helvetica Neue" w:cs="Helvetica Neue"/>
          <w:sz w:val="16"/>
          <w:szCs w:val="16"/>
        </w:rPr>
        <w:t xml:space="preserve"> (The Money Statistics January 2022 Full Report, P7)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51E8" w14:textId="77777777" w:rsidR="009A514C" w:rsidRDefault="003868E3">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20B2B37" wp14:editId="4185AB35">
          <wp:extent cx="2943830" cy="615499"/>
          <wp:effectExtent l="0" t="0" r="0" b="0"/>
          <wp:docPr id="7" name="image1.png" descr="The Money Charity Logo"/>
          <wp:cNvGraphicFramePr/>
          <a:graphic xmlns:a="http://schemas.openxmlformats.org/drawingml/2006/main">
            <a:graphicData uri="http://schemas.openxmlformats.org/drawingml/2006/picture">
              <pic:pic xmlns:pic="http://schemas.openxmlformats.org/drawingml/2006/picture">
                <pic:nvPicPr>
                  <pic:cNvPr id="0" name="image1.png" descr="The Money Charity Logo"/>
                  <pic:cNvPicPr preferRelativeResize="0"/>
                </pic:nvPicPr>
                <pic:blipFill>
                  <a:blip r:embed="rId1"/>
                  <a:srcRect/>
                  <a:stretch>
                    <a:fillRect/>
                  </a:stretch>
                </pic:blipFill>
                <pic:spPr>
                  <a:xfrm>
                    <a:off x="0" y="0"/>
                    <a:ext cx="2943830" cy="6154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E03"/>
    <w:multiLevelType w:val="multilevel"/>
    <w:tmpl w:val="C31CABC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DA2B77"/>
    <w:multiLevelType w:val="multilevel"/>
    <w:tmpl w:val="5B96EC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A974EE"/>
    <w:multiLevelType w:val="hybridMultilevel"/>
    <w:tmpl w:val="3A567EF0"/>
    <w:lvl w:ilvl="0" w:tplc="3058034C">
      <w:start w:val="1"/>
      <w:numFmt w:val="bullet"/>
      <w:lvlText w:val="•"/>
      <w:lvlJc w:val="left"/>
      <w:pPr>
        <w:tabs>
          <w:tab w:val="num" w:pos="720"/>
        </w:tabs>
        <w:ind w:left="720" w:hanging="360"/>
      </w:pPr>
      <w:rPr>
        <w:rFonts w:ascii="Arial" w:hAnsi="Arial" w:hint="default"/>
      </w:rPr>
    </w:lvl>
    <w:lvl w:ilvl="1" w:tplc="B5DAEBF6" w:tentative="1">
      <w:start w:val="1"/>
      <w:numFmt w:val="bullet"/>
      <w:lvlText w:val="•"/>
      <w:lvlJc w:val="left"/>
      <w:pPr>
        <w:tabs>
          <w:tab w:val="num" w:pos="1440"/>
        </w:tabs>
        <w:ind w:left="1440" w:hanging="360"/>
      </w:pPr>
      <w:rPr>
        <w:rFonts w:ascii="Arial" w:hAnsi="Arial" w:hint="default"/>
      </w:rPr>
    </w:lvl>
    <w:lvl w:ilvl="2" w:tplc="C8D4073C" w:tentative="1">
      <w:start w:val="1"/>
      <w:numFmt w:val="bullet"/>
      <w:lvlText w:val="•"/>
      <w:lvlJc w:val="left"/>
      <w:pPr>
        <w:tabs>
          <w:tab w:val="num" w:pos="2160"/>
        </w:tabs>
        <w:ind w:left="2160" w:hanging="360"/>
      </w:pPr>
      <w:rPr>
        <w:rFonts w:ascii="Arial" w:hAnsi="Arial" w:hint="default"/>
      </w:rPr>
    </w:lvl>
    <w:lvl w:ilvl="3" w:tplc="F542A218" w:tentative="1">
      <w:start w:val="1"/>
      <w:numFmt w:val="bullet"/>
      <w:lvlText w:val="•"/>
      <w:lvlJc w:val="left"/>
      <w:pPr>
        <w:tabs>
          <w:tab w:val="num" w:pos="2880"/>
        </w:tabs>
        <w:ind w:left="2880" w:hanging="360"/>
      </w:pPr>
      <w:rPr>
        <w:rFonts w:ascii="Arial" w:hAnsi="Arial" w:hint="default"/>
      </w:rPr>
    </w:lvl>
    <w:lvl w:ilvl="4" w:tplc="E0721B94" w:tentative="1">
      <w:start w:val="1"/>
      <w:numFmt w:val="bullet"/>
      <w:lvlText w:val="•"/>
      <w:lvlJc w:val="left"/>
      <w:pPr>
        <w:tabs>
          <w:tab w:val="num" w:pos="3600"/>
        </w:tabs>
        <w:ind w:left="3600" w:hanging="360"/>
      </w:pPr>
      <w:rPr>
        <w:rFonts w:ascii="Arial" w:hAnsi="Arial" w:hint="default"/>
      </w:rPr>
    </w:lvl>
    <w:lvl w:ilvl="5" w:tplc="467422A8" w:tentative="1">
      <w:start w:val="1"/>
      <w:numFmt w:val="bullet"/>
      <w:lvlText w:val="•"/>
      <w:lvlJc w:val="left"/>
      <w:pPr>
        <w:tabs>
          <w:tab w:val="num" w:pos="4320"/>
        </w:tabs>
        <w:ind w:left="4320" w:hanging="360"/>
      </w:pPr>
      <w:rPr>
        <w:rFonts w:ascii="Arial" w:hAnsi="Arial" w:hint="default"/>
      </w:rPr>
    </w:lvl>
    <w:lvl w:ilvl="6" w:tplc="0270CAB8" w:tentative="1">
      <w:start w:val="1"/>
      <w:numFmt w:val="bullet"/>
      <w:lvlText w:val="•"/>
      <w:lvlJc w:val="left"/>
      <w:pPr>
        <w:tabs>
          <w:tab w:val="num" w:pos="5040"/>
        </w:tabs>
        <w:ind w:left="5040" w:hanging="360"/>
      </w:pPr>
      <w:rPr>
        <w:rFonts w:ascii="Arial" w:hAnsi="Arial" w:hint="default"/>
      </w:rPr>
    </w:lvl>
    <w:lvl w:ilvl="7" w:tplc="A9E8A9FC" w:tentative="1">
      <w:start w:val="1"/>
      <w:numFmt w:val="bullet"/>
      <w:lvlText w:val="•"/>
      <w:lvlJc w:val="left"/>
      <w:pPr>
        <w:tabs>
          <w:tab w:val="num" w:pos="5760"/>
        </w:tabs>
        <w:ind w:left="5760" w:hanging="360"/>
      </w:pPr>
      <w:rPr>
        <w:rFonts w:ascii="Arial" w:hAnsi="Arial" w:hint="default"/>
      </w:rPr>
    </w:lvl>
    <w:lvl w:ilvl="8" w:tplc="C4A43A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61568F"/>
    <w:multiLevelType w:val="hybridMultilevel"/>
    <w:tmpl w:val="EDB27D78"/>
    <w:lvl w:ilvl="0" w:tplc="EF58849A">
      <w:start w:val="1"/>
      <w:numFmt w:val="bullet"/>
      <w:lvlText w:val="•"/>
      <w:lvlJc w:val="left"/>
      <w:pPr>
        <w:tabs>
          <w:tab w:val="num" w:pos="720"/>
        </w:tabs>
        <w:ind w:left="720" w:hanging="360"/>
      </w:pPr>
      <w:rPr>
        <w:rFonts w:ascii="Arial" w:hAnsi="Arial" w:hint="default"/>
      </w:rPr>
    </w:lvl>
    <w:lvl w:ilvl="1" w:tplc="B17455EE" w:tentative="1">
      <w:start w:val="1"/>
      <w:numFmt w:val="bullet"/>
      <w:lvlText w:val="•"/>
      <w:lvlJc w:val="left"/>
      <w:pPr>
        <w:tabs>
          <w:tab w:val="num" w:pos="1440"/>
        </w:tabs>
        <w:ind w:left="1440" w:hanging="360"/>
      </w:pPr>
      <w:rPr>
        <w:rFonts w:ascii="Arial" w:hAnsi="Arial" w:hint="default"/>
      </w:rPr>
    </w:lvl>
    <w:lvl w:ilvl="2" w:tplc="1BB447A6" w:tentative="1">
      <w:start w:val="1"/>
      <w:numFmt w:val="bullet"/>
      <w:lvlText w:val="•"/>
      <w:lvlJc w:val="left"/>
      <w:pPr>
        <w:tabs>
          <w:tab w:val="num" w:pos="2160"/>
        </w:tabs>
        <w:ind w:left="2160" w:hanging="360"/>
      </w:pPr>
      <w:rPr>
        <w:rFonts w:ascii="Arial" w:hAnsi="Arial" w:hint="default"/>
      </w:rPr>
    </w:lvl>
    <w:lvl w:ilvl="3" w:tplc="15D25630" w:tentative="1">
      <w:start w:val="1"/>
      <w:numFmt w:val="bullet"/>
      <w:lvlText w:val="•"/>
      <w:lvlJc w:val="left"/>
      <w:pPr>
        <w:tabs>
          <w:tab w:val="num" w:pos="2880"/>
        </w:tabs>
        <w:ind w:left="2880" w:hanging="360"/>
      </w:pPr>
      <w:rPr>
        <w:rFonts w:ascii="Arial" w:hAnsi="Arial" w:hint="default"/>
      </w:rPr>
    </w:lvl>
    <w:lvl w:ilvl="4" w:tplc="DFA2E4D4" w:tentative="1">
      <w:start w:val="1"/>
      <w:numFmt w:val="bullet"/>
      <w:lvlText w:val="•"/>
      <w:lvlJc w:val="left"/>
      <w:pPr>
        <w:tabs>
          <w:tab w:val="num" w:pos="3600"/>
        </w:tabs>
        <w:ind w:left="3600" w:hanging="360"/>
      </w:pPr>
      <w:rPr>
        <w:rFonts w:ascii="Arial" w:hAnsi="Arial" w:hint="default"/>
      </w:rPr>
    </w:lvl>
    <w:lvl w:ilvl="5" w:tplc="494693B0" w:tentative="1">
      <w:start w:val="1"/>
      <w:numFmt w:val="bullet"/>
      <w:lvlText w:val="•"/>
      <w:lvlJc w:val="left"/>
      <w:pPr>
        <w:tabs>
          <w:tab w:val="num" w:pos="4320"/>
        </w:tabs>
        <w:ind w:left="4320" w:hanging="360"/>
      </w:pPr>
      <w:rPr>
        <w:rFonts w:ascii="Arial" w:hAnsi="Arial" w:hint="default"/>
      </w:rPr>
    </w:lvl>
    <w:lvl w:ilvl="6" w:tplc="686A431C" w:tentative="1">
      <w:start w:val="1"/>
      <w:numFmt w:val="bullet"/>
      <w:lvlText w:val="•"/>
      <w:lvlJc w:val="left"/>
      <w:pPr>
        <w:tabs>
          <w:tab w:val="num" w:pos="5040"/>
        </w:tabs>
        <w:ind w:left="5040" w:hanging="360"/>
      </w:pPr>
      <w:rPr>
        <w:rFonts w:ascii="Arial" w:hAnsi="Arial" w:hint="default"/>
      </w:rPr>
    </w:lvl>
    <w:lvl w:ilvl="7" w:tplc="0792BFDE" w:tentative="1">
      <w:start w:val="1"/>
      <w:numFmt w:val="bullet"/>
      <w:lvlText w:val="•"/>
      <w:lvlJc w:val="left"/>
      <w:pPr>
        <w:tabs>
          <w:tab w:val="num" w:pos="5760"/>
        </w:tabs>
        <w:ind w:left="5760" w:hanging="360"/>
      </w:pPr>
      <w:rPr>
        <w:rFonts w:ascii="Arial" w:hAnsi="Arial" w:hint="default"/>
      </w:rPr>
    </w:lvl>
    <w:lvl w:ilvl="8" w:tplc="27462ED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4C"/>
    <w:rsid w:val="00015348"/>
    <w:rsid w:val="0023076E"/>
    <w:rsid w:val="003249C6"/>
    <w:rsid w:val="003868E3"/>
    <w:rsid w:val="00545C7A"/>
    <w:rsid w:val="0059317D"/>
    <w:rsid w:val="009A5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4F4E"/>
  <w15:docId w15:val="{1AE0242D-D205-4192-AA6F-3554E6B2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0205"/>
    <w:pPr>
      <w:ind w:left="720"/>
      <w:contextualSpacing/>
    </w:pPr>
  </w:style>
  <w:style w:type="paragraph" w:styleId="Header">
    <w:name w:val="header"/>
    <w:basedOn w:val="Normal"/>
    <w:link w:val="HeaderChar"/>
    <w:uiPriority w:val="99"/>
    <w:unhideWhenUsed/>
    <w:rsid w:val="00CC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12"/>
  </w:style>
  <w:style w:type="paragraph" w:styleId="Footer">
    <w:name w:val="footer"/>
    <w:basedOn w:val="Normal"/>
    <w:link w:val="FooterChar"/>
    <w:uiPriority w:val="99"/>
    <w:unhideWhenUsed/>
    <w:rsid w:val="00CC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12"/>
  </w:style>
  <w:style w:type="paragraph" w:styleId="NormalWeb">
    <w:name w:val="Normal (Web)"/>
    <w:basedOn w:val="Normal"/>
    <w:uiPriority w:val="99"/>
    <w:semiHidden/>
    <w:unhideWhenUsed/>
    <w:rsid w:val="00CD1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B15"/>
    <w:rPr>
      <w:b/>
      <w:bCs/>
    </w:rPr>
  </w:style>
  <w:style w:type="character" w:styleId="Emphasis">
    <w:name w:val="Emphasis"/>
    <w:basedOn w:val="DefaultParagraphFont"/>
    <w:uiPriority w:val="20"/>
    <w:qFormat/>
    <w:rsid w:val="00CD1B15"/>
    <w:rPr>
      <w:i/>
      <w:iCs/>
    </w:rPr>
  </w:style>
  <w:style w:type="character" w:styleId="Hyperlink">
    <w:name w:val="Hyperlink"/>
    <w:basedOn w:val="DefaultParagraphFont"/>
    <w:uiPriority w:val="99"/>
    <w:unhideWhenUsed/>
    <w:rsid w:val="00174CD7"/>
    <w:rPr>
      <w:color w:val="0000FF"/>
      <w:u w:val="single"/>
    </w:rPr>
  </w:style>
  <w:style w:type="paragraph" w:styleId="BalloonText">
    <w:name w:val="Balloon Text"/>
    <w:basedOn w:val="Normal"/>
    <w:link w:val="BalloonTextChar"/>
    <w:uiPriority w:val="99"/>
    <w:semiHidden/>
    <w:unhideWhenUsed/>
    <w:rsid w:val="00AF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3"/>
    <w:rPr>
      <w:rFonts w:ascii="Tahoma" w:hAnsi="Tahoma" w:cs="Tahoma"/>
      <w:sz w:val="16"/>
      <w:szCs w:val="16"/>
    </w:rPr>
  </w:style>
  <w:style w:type="character" w:styleId="FollowedHyperlink">
    <w:name w:val="FollowedHyperlink"/>
    <w:basedOn w:val="DefaultParagraphFont"/>
    <w:uiPriority w:val="99"/>
    <w:semiHidden/>
    <w:unhideWhenUsed/>
    <w:rsid w:val="0083586F"/>
    <w:rPr>
      <w:color w:val="800080" w:themeColor="followedHyperlink"/>
      <w:u w:val="single"/>
    </w:rPr>
  </w:style>
  <w:style w:type="table" w:styleId="TableGrid">
    <w:name w:val="Table Grid"/>
    <w:basedOn w:val="TableNormal"/>
    <w:uiPriority w:val="59"/>
    <w:rsid w:val="008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113"/>
    <w:rPr>
      <w:sz w:val="20"/>
      <w:szCs w:val="20"/>
    </w:rPr>
  </w:style>
  <w:style w:type="character" w:styleId="FootnoteReference">
    <w:name w:val="footnote reference"/>
    <w:basedOn w:val="DefaultParagraphFont"/>
    <w:uiPriority w:val="99"/>
    <w:semiHidden/>
    <w:unhideWhenUsed/>
    <w:rsid w:val="008071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5100">
      <w:bodyDiv w:val="1"/>
      <w:marLeft w:val="0"/>
      <w:marRight w:val="0"/>
      <w:marTop w:val="0"/>
      <w:marBottom w:val="0"/>
      <w:divBdr>
        <w:top w:val="none" w:sz="0" w:space="0" w:color="auto"/>
        <w:left w:val="none" w:sz="0" w:space="0" w:color="auto"/>
        <w:bottom w:val="none" w:sz="0" w:space="0" w:color="auto"/>
        <w:right w:val="none" w:sz="0" w:space="0" w:color="auto"/>
      </w:divBdr>
      <w:divsChild>
        <w:div w:id="918908219">
          <w:marLeft w:val="274"/>
          <w:marRight w:val="0"/>
          <w:marTop w:val="0"/>
          <w:marBottom w:val="0"/>
          <w:divBdr>
            <w:top w:val="none" w:sz="0" w:space="0" w:color="auto"/>
            <w:left w:val="none" w:sz="0" w:space="0" w:color="auto"/>
            <w:bottom w:val="none" w:sz="0" w:space="0" w:color="auto"/>
            <w:right w:val="none" w:sz="0" w:space="0" w:color="auto"/>
          </w:divBdr>
        </w:div>
      </w:divsChild>
    </w:div>
    <w:div w:id="446631180">
      <w:bodyDiv w:val="1"/>
      <w:marLeft w:val="0"/>
      <w:marRight w:val="0"/>
      <w:marTop w:val="0"/>
      <w:marBottom w:val="0"/>
      <w:divBdr>
        <w:top w:val="none" w:sz="0" w:space="0" w:color="auto"/>
        <w:left w:val="none" w:sz="0" w:space="0" w:color="auto"/>
        <w:bottom w:val="none" w:sz="0" w:space="0" w:color="auto"/>
        <w:right w:val="none" w:sz="0" w:space="0" w:color="auto"/>
      </w:divBdr>
      <w:divsChild>
        <w:div w:id="702289321">
          <w:marLeft w:val="274"/>
          <w:marRight w:val="0"/>
          <w:marTop w:val="0"/>
          <w:marBottom w:val="0"/>
          <w:divBdr>
            <w:top w:val="none" w:sz="0" w:space="0" w:color="auto"/>
            <w:left w:val="none" w:sz="0" w:space="0" w:color="auto"/>
            <w:bottom w:val="none" w:sz="0" w:space="0" w:color="auto"/>
            <w:right w:val="none" w:sz="0" w:space="0" w:color="auto"/>
          </w:divBdr>
        </w:div>
        <w:div w:id="1277983823">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moneycharity.org.uk/money-statis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themoneychari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themoneychari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moneycharity.org.uk/money-statistics/" TargetMode="External"/><Relationship Id="rId4" Type="http://schemas.openxmlformats.org/officeDocument/2006/relationships/settings" Target="settings.xml"/><Relationship Id="rId9" Type="http://schemas.openxmlformats.org/officeDocument/2006/relationships/hyperlink" Target="https://themoneycharit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x/tpfbQRUveaxnDBzxVfTZwjA==">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Challenge</dc:creator>
  <cp:lastModifiedBy>James Yelland</cp:lastModifiedBy>
  <cp:revision>3</cp:revision>
  <dcterms:created xsi:type="dcterms:W3CDTF">2021-11-25T10:03:00Z</dcterms:created>
  <dcterms:modified xsi:type="dcterms:W3CDTF">2022-01-26T20:41:00Z</dcterms:modified>
</cp:coreProperties>
</file>